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EE0" w:rsidRDefault="00B52EE0">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B52EE0" w:rsidRDefault="00B52EE0">
      <w:pPr>
        <w:pStyle w:val="ConsPlusNormal"/>
        <w:jc w:val="both"/>
      </w:pPr>
    </w:p>
    <w:p w:rsidR="00B52EE0" w:rsidRDefault="00B52EE0">
      <w:pPr>
        <w:pStyle w:val="ConsPlusTitle"/>
        <w:jc w:val="center"/>
      </w:pPr>
      <w:r>
        <w:t>ДУМА МУНИЦИПАЛЬНОГО ОБРАЗОВАНИЯ РАБОЧИЙ ПОСЕЛОК АТИГ</w:t>
      </w:r>
    </w:p>
    <w:p w:rsidR="00B52EE0" w:rsidRDefault="00B52EE0">
      <w:pPr>
        <w:pStyle w:val="ConsPlusTitle"/>
        <w:jc w:val="center"/>
      </w:pPr>
    </w:p>
    <w:p w:rsidR="00B52EE0" w:rsidRDefault="00B52EE0">
      <w:pPr>
        <w:pStyle w:val="ConsPlusTitle"/>
        <w:jc w:val="center"/>
      </w:pPr>
      <w:r>
        <w:t>РЕШЕНИЕ</w:t>
      </w:r>
    </w:p>
    <w:p w:rsidR="00B52EE0" w:rsidRDefault="00B52EE0">
      <w:pPr>
        <w:pStyle w:val="ConsPlusTitle"/>
        <w:jc w:val="center"/>
      </w:pPr>
      <w:r>
        <w:t>от 12 ноября 2014 г. N 65/3</w:t>
      </w:r>
    </w:p>
    <w:p w:rsidR="00B52EE0" w:rsidRDefault="00B52EE0">
      <w:pPr>
        <w:pStyle w:val="ConsPlusTitle"/>
        <w:jc w:val="center"/>
      </w:pPr>
      <w:bookmarkStart w:id="0" w:name="_GoBack"/>
      <w:bookmarkEnd w:id="0"/>
    </w:p>
    <w:p w:rsidR="00B52EE0" w:rsidRDefault="00B52EE0">
      <w:pPr>
        <w:pStyle w:val="ConsPlusTitle"/>
        <w:jc w:val="center"/>
      </w:pPr>
      <w:r>
        <w:t>О ВВЕДЕНИИ В ДЕЙСТВИЕ НА ТЕРРИТОРИИ</w:t>
      </w:r>
    </w:p>
    <w:p w:rsidR="00B52EE0" w:rsidRDefault="00B52EE0">
      <w:pPr>
        <w:pStyle w:val="ConsPlusTitle"/>
        <w:jc w:val="center"/>
      </w:pPr>
      <w:r>
        <w:t>МУНИЦИПАЛЬНОГО ОБРАЗОВАНИЯ РАБОЧИЙ ПОСЕЛОК АТИГ</w:t>
      </w:r>
    </w:p>
    <w:p w:rsidR="00B52EE0" w:rsidRDefault="00B52EE0">
      <w:pPr>
        <w:pStyle w:val="ConsPlusTitle"/>
        <w:jc w:val="center"/>
      </w:pPr>
      <w:r>
        <w:t>НАЛОГА НА ИМУЩЕСТВО ФИЗИЧЕСКИХ ЛИЦ</w:t>
      </w:r>
    </w:p>
    <w:p w:rsidR="00B52EE0" w:rsidRDefault="00B52EE0">
      <w:pPr>
        <w:pStyle w:val="ConsPlusNormal"/>
        <w:jc w:val="both"/>
      </w:pPr>
    </w:p>
    <w:p w:rsidR="00B52EE0" w:rsidRDefault="00B52EE0">
      <w:pPr>
        <w:pStyle w:val="ConsPlusNormal"/>
        <w:ind w:firstLine="540"/>
        <w:jc w:val="both"/>
      </w:pPr>
      <w:r>
        <w:t xml:space="preserve">В соответствии с </w:t>
      </w:r>
      <w:hyperlink r:id="rId5" w:history="1">
        <w:r>
          <w:rPr>
            <w:color w:val="0000FF"/>
          </w:rPr>
          <w:t>пунктом 2 части 1 статьи 14</w:t>
        </w:r>
      </w:hyperlink>
      <w:r>
        <w:t xml:space="preserve"> Федерального закона от 6 октября 2003 года N 131-ФЗ "Об общих принципах организации местного самоуправления в Российской Федерации", </w:t>
      </w:r>
      <w:hyperlink r:id="rId6" w:history="1">
        <w:r>
          <w:rPr>
            <w:color w:val="0000FF"/>
          </w:rPr>
          <w:t>частью 1 статьи 399</w:t>
        </w:r>
      </w:hyperlink>
      <w:r>
        <w:t xml:space="preserve"> Налогового </w:t>
      </w:r>
      <w:hyperlink r:id="rId7" w:history="1">
        <w:r>
          <w:rPr>
            <w:color w:val="0000FF"/>
          </w:rPr>
          <w:t>кодекса</w:t>
        </w:r>
      </w:hyperlink>
      <w:r>
        <w:t xml:space="preserve"> Российской Федерации, </w:t>
      </w:r>
      <w:hyperlink r:id="rId8" w:history="1">
        <w:r>
          <w:rPr>
            <w:color w:val="0000FF"/>
          </w:rPr>
          <w:t>частью 1 статьи 50</w:t>
        </w:r>
      </w:hyperlink>
      <w:r>
        <w:t xml:space="preserve"> Устава муниципального образования рабочий поселок Атиг, Дума муниципального образования рабочий поселок Атиг решила:</w:t>
      </w:r>
    </w:p>
    <w:p w:rsidR="00B52EE0" w:rsidRDefault="00B52EE0">
      <w:pPr>
        <w:pStyle w:val="ConsPlusNormal"/>
        <w:ind w:firstLine="540"/>
        <w:jc w:val="both"/>
      </w:pPr>
      <w:r>
        <w:t xml:space="preserve">1. Ввести в действие с 1 января 2015 года на территории муниципального образования рабочий поселок Атиг </w:t>
      </w:r>
      <w:hyperlink r:id="rId9" w:history="1">
        <w:r>
          <w:rPr>
            <w:color w:val="0000FF"/>
          </w:rPr>
          <w:t>налог</w:t>
        </w:r>
      </w:hyperlink>
      <w:r>
        <w:t xml:space="preserve"> на имущество физических лиц.</w:t>
      </w:r>
    </w:p>
    <w:p w:rsidR="00B52EE0" w:rsidRDefault="00B52EE0">
      <w:pPr>
        <w:pStyle w:val="ConsPlusNormal"/>
        <w:ind w:firstLine="540"/>
        <w:jc w:val="both"/>
      </w:pPr>
      <w:r>
        <w:t xml:space="preserve">2. Установить, что налоговая база в отношении объектов налогообложения, за исключением объектов, указанных в </w:t>
      </w:r>
      <w:hyperlink r:id="rId10" w:history="1">
        <w:r>
          <w:rPr>
            <w:color w:val="0000FF"/>
          </w:rPr>
          <w:t>пункте 3 статьи 402</w:t>
        </w:r>
      </w:hyperlink>
      <w:r>
        <w:t xml:space="preserve"> Налогового кодекса Российской Федерации, определяется исходя из инвентаризационной стоимости до принятия закона либо иного нормативного правового акта Свердловской области об установлении единой даты начала применения на территории Свердловской области порядка определения налоговой базы исходя из кадастровой стоимости объектов налогообложения с учетом положений </w:t>
      </w:r>
      <w:hyperlink r:id="rId11" w:history="1">
        <w:r>
          <w:rPr>
            <w:color w:val="0000FF"/>
          </w:rPr>
          <w:t>статьи 5</w:t>
        </w:r>
      </w:hyperlink>
      <w:r>
        <w:t xml:space="preserve"> Налогового кодекса Российской Федерации.</w:t>
      </w:r>
    </w:p>
    <w:p w:rsidR="00B52EE0" w:rsidRDefault="00B52EE0">
      <w:pPr>
        <w:pStyle w:val="ConsPlusNormal"/>
        <w:ind w:firstLine="540"/>
        <w:jc w:val="both"/>
      </w:pPr>
      <w:r>
        <w:t xml:space="preserve">В случае установления законом либо иным нормативным правовым актом Свердловской области единой даты начала применения на территории Свердловской области порядка определения налоговой базы исходя из кадастровой стоимости объектов налогообложения налоговая база определяется в отношении каждого объекта налогообложения как его кадастровая стоимость, указанная в государственном кадастре недвижимости по состоянию на 1 января года, являющегося налоговым периодом, с учетом особенностей, предусмотренных </w:t>
      </w:r>
      <w:hyperlink r:id="rId12" w:history="1">
        <w:r>
          <w:rPr>
            <w:color w:val="0000FF"/>
          </w:rPr>
          <w:t>статьей 403</w:t>
        </w:r>
      </w:hyperlink>
      <w:r>
        <w:t xml:space="preserve"> Налогового кодекса Российской Федерации.</w:t>
      </w:r>
    </w:p>
    <w:p w:rsidR="00B52EE0" w:rsidRDefault="00B52EE0">
      <w:pPr>
        <w:pStyle w:val="ConsPlusNormal"/>
        <w:ind w:firstLine="540"/>
        <w:jc w:val="both"/>
      </w:pPr>
      <w:r>
        <w:t>3. В случае определения налоговой базы исходя из инвентаризационной стоимости установить следующие налоговые ставки:</w:t>
      </w:r>
    </w:p>
    <w:p w:rsidR="00B52EE0" w:rsidRDefault="00B52EE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13"/>
        <w:gridCol w:w="2310"/>
      </w:tblGrid>
      <w:tr w:rsidR="00B52EE0">
        <w:tc>
          <w:tcPr>
            <w:tcW w:w="7313" w:type="dxa"/>
          </w:tcPr>
          <w:p w:rsidR="00B52EE0" w:rsidRDefault="00B52EE0">
            <w:pPr>
              <w:pStyle w:val="ConsPlusNormal"/>
              <w:jc w:val="center"/>
            </w:pPr>
            <w:r>
              <w:t>Суммарная инвентаризационная стоимость объектов налогообложения, умноженная на коэффициент-дефлятор (с учетом доли налогоплательщика в праве общей собственности на каждый из таких объектов)</w:t>
            </w:r>
          </w:p>
        </w:tc>
        <w:tc>
          <w:tcPr>
            <w:tcW w:w="2310" w:type="dxa"/>
          </w:tcPr>
          <w:p w:rsidR="00B52EE0" w:rsidRDefault="00B52EE0">
            <w:pPr>
              <w:pStyle w:val="ConsPlusNormal"/>
              <w:jc w:val="center"/>
            </w:pPr>
            <w:r>
              <w:t>Ставка налога</w:t>
            </w:r>
          </w:p>
        </w:tc>
      </w:tr>
      <w:tr w:rsidR="00B52EE0">
        <w:tc>
          <w:tcPr>
            <w:tcW w:w="7313" w:type="dxa"/>
          </w:tcPr>
          <w:p w:rsidR="00B52EE0" w:rsidRDefault="00B52EE0">
            <w:pPr>
              <w:pStyle w:val="ConsPlusNormal"/>
            </w:pPr>
            <w:r>
              <w:t>до 300 тыс. рублей (включительно)</w:t>
            </w:r>
          </w:p>
        </w:tc>
        <w:tc>
          <w:tcPr>
            <w:tcW w:w="2310" w:type="dxa"/>
          </w:tcPr>
          <w:p w:rsidR="00B52EE0" w:rsidRDefault="00B52EE0">
            <w:pPr>
              <w:pStyle w:val="ConsPlusNormal"/>
              <w:jc w:val="center"/>
            </w:pPr>
            <w:r>
              <w:t>0,1 процента</w:t>
            </w:r>
          </w:p>
        </w:tc>
      </w:tr>
      <w:tr w:rsidR="00B52EE0">
        <w:tc>
          <w:tcPr>
            <w:tcW w:w="7313" w:type="dxa"/>
          </w:tcPr>
          <w:p w:rsidR="00B52EE0" w:rsidRDefault="00B52EE0">
            <w:pPr>
              <w:pStyle w:val="ConsPlusNormal"/>
            </w:pPr>
            <w:r>
              <w:t>от 300 тыс. рублей до 500 тыс. рублей (включительно)</w:t>
            </w:r>
          </w:p>
        </w:tc>
        <w:tc>
          <w:tcPr>
            <w:tcW w:w="2310" w:type="dxa"/>
          </w:tcPr>
          <w:p w:rsidR="00B52EE0" w:rsidRDefault="00B52EE0">
            <w:pPr>
              <w:pStyle w:val="ConsPlusNormal"/>
              <w:jc w:val="center"/>
            </w:pPr>
            <w:r>
              <w:t>0,2 процента</w:t>
            </w:r>
          </w:p>
        </w:tc>
      </w:tr>
      <w:tr w:rsidR="00B52EE0">
        <w:tc>
          <w:tcPr>
            <w:tcW w:w="7313" w:type="dxa"/>
          </w:tcPr>
          <w:p w:rsidR="00B52EE0" w:rsidRDefault="00B52EE0">
            <w:pPr>
              <w:pStyle w:val="ConsPlusNormal"/>
            </w:pPr>
            <w:r>
              <w:t>от 500 тыс. рублей до 750 тыс. рублей (включительно)</w:t>
            </w:r>
          </w:p>
        </w:tc>
        <w:tc>
          <w:tcPr>
            <w:tcW w:w="2310" w:type="dxa"/>
          </w:tcPr>
          <w:p w:rsidR="00B52EE0" w:rsidRDefault="00B52EE0">
            <w:pPr>
              <w:pStyle w:val="ConsPlusNormal"/>
              <w:jc w:val="center"/>
            </w:pPr>
            <w:r>
              <w:t>0,31 процента</w:t>
            </w:r>
          </w:p>
        </w:tc>
      </w:tr>
      <w:tr w:rsidR="00B52EE0">
        <w:tc>
          <w:tcPr>
            <w:tcW w:w="7313" w:type="dxa"/>
          </w:tcPr>
          <w:p w:rsidR="00B52EE0" w:rsidRDefault="00B52EE0">
            <w:pPr>
              <w:pStyle w:val="ConsPlusNormal"/>
            </w:pPr>
            <w:r>
              <w:t>от 750 тыс. рублей до 1000 тыс. рублей (включительно)</w:t>
            </w:r>
          </w:p>
        </w:tc>
        <w:tc>
          <w:tcPr>
            <w:tcW w:w="2310" w:type="dxa"/>
          </w:tcPr>
          <w:p w:rsidR="00B52EE0" w:rsidRDefault="00B52EE0">
            <w:pPr>
              <w:pStyle w:val="ConsPlusNormal"/>
              <w:jc w:val="center"/>
            </w:pPr>
            <w:r>
              <w:t>0,4 процента</w:t>
            </w:r>
          </w:p>
        </w:tc>
      </w:tr>
      <w:tr w:rsidR="00B52EE0">
        <w:tc>
          <w:tcPr>
            <w:tcW w:w="7313" w:type="dxa"/>
          </w:tcPr>
          <w:p w:rsidR="00B52EE0" w:rsidRDefault="00B52EE0">
            <w:pPr>
              <w:pStyle w:val="ConsPlusNormal"/>
            </w:pPr>
            <w:r>
              <w:t>от 1000 тыс. рублей до 2000 тыс. рублей (включительно)</w:t>
            </w:r>
          </w:p>
        </w:tc>
        <w:tc>
          <w:tcPr>
            <w:tcW w:w="2310" w:type="dxa"/>
          </w:tcPr>
          <w:p w:rsidR="00B52EE0" w:rsidRDefault="00B52EE0">
            <w:pPr>
              <w:pStyle w:val="ConsPlusNormal"/>
              <w:jc w:val="center"/>
            </w:pPr>
            <w:r>
              <w:t>0,5 процента</w:t>
            </w:r>
          </w:p>
        </w:tc>
      </w:tr>
      <w:tr w:rsidR="00B52EE0">
        <w:tc>
          <w:tcPr>
            <w:tcW w:w="7313" w:type="dxa"/>
          </w:tcPr>
          <w:p w:rsidR="00B52EE0" w:rsidRDefault="00B52EE0">
            <w:pPr>
              <w:pStyle w:val="ConsPlusNormal"/>
            </w:pPr>
            <w:r>
              <w:t>свыше 2000 тыс. рублей</w:t>
            </w:r>
          </w:p>
        </w:tc>
        <w:tc>
          <w:tcPr>
            <w:tcW w:w="2310" w:type="dxa"/>
          </w:tcPr>
          <w:p w:rsidR="00B52EE0" w:rsidRDefault="00B52EE0">
            <w:pPr>
              <w:pStyle w:val="ConsPlusNormal"/>
              <w:jc w:val="center"/>
            </w:pPr>
            <w:r>
              <w:t>0,8 процента</w:t>
            </w:r>
          </w:p>
        </w:tc>
      </w:tr>
    </w:tbl>
    <w:p w:rsidR="00B52EE0" w:rsidRDefault="00B52EE0">
      <w:pPr>
        <w:sectPr w:rsidR="00B52EE0" w:rsidSect="00B52EE0">
          <w:pgSz w:w="11906" w:h="16838"/>
          <w:pgMar w:top="1134" w:right="850" w:bottom="1134" w:left="1701" w:header="708" w:footer="708" w:gutter="0"/>
          <w:cols w:space="708"/>
          <w:docGrid w:linePitch="360"/>
        </w:sectPr>
      </w:pPr>
    </w:p>
    <w:p w:rsidR="00B52EE0" w:rsidRDefault="00B52EE0">
      <w:pPr>
        <w:pStyle w:val="ConsPlusNormal"/>
        <w:jc w:val="both"/>
      </w:pPr>
    </w:p>
    <w:p w:rsidR="00B52EE0" w:rsidRDefault="00B52EE0">
      <w:pPr>
        <w:pStyle w:val="ConsPlusNormal"/>
        <w:ind w:firstLine="540"/>
        <w:jc w:val="both"/>
      </w:pPr>
      <w:r>
        <w:t>4. В случае определения налоговой базы исходя из кадастровой стоимости объекта налогообложения установить следующие налоговые ставки:</w:t>
      </w:r>
    </w:p>
    <w:p w:rsidR="00B52EE0" w:rsidRDefault="00B52EE0">
      <w:pPr>
        <w:pStyle w:val="ConsPlusNormal"/>
        <w:ind w:firstLine="540"/>
        <w:jc w:val="both"/>
      </w:pPr>
      <w:r>
        <w:t>1) 0,1 процента в отношении:</w:t>
      </w:r>
    </w:p>
    <w:p w:rsidR="00B52EE0" w:rsidRDefault="00B52EE0">
      <w:pPr>
        <w:pStyle w:val="ConsPlusNormal"/>
        <w:ind w:firstLine="540"/>
        <w:jc w:val="both"/>
      </w:pPr>
      <w:r>
        <w:t>- жилых домов, жилых помещений;</w:t>
      </w:r>
    </w:p>
    <w:p w:rsidR="00B52EE0" w:rsidRDefault="00B52EE0">
      <w:pPr>
        <w:pStyle w:val="ConsPlusNormal"/>
        <w:ind w:firstLine="540"/>
        <w:jc w:val="both"/>
      </w:pPr>
      <w:r>
        <w:t>- объектов незавершенного строительства в случае, если проектируемым назначением таких объектов является жилой дом;</w:t>
      </w:r>
    </w:p>
    <w:p w:rsidR="00B52EE0" w:rsidRDefault="00B52EE0">
      <w:pPr>
        <w:pStyle w:val="ConsPlusNormal"/>
        <w:ind w:firstLine="540"/>
        <w:jc w:val="both"/>
      </w:pPr>
      <w:r>
        <w:t>- единых недвижимых комплексов, в состав которых входит хотя бы одно жилое помещение (жилой дом);</w:t>
      </w:r>
    </w:p>
    <w:p w:rsidR="00B52EE0" w:rsidRDefault="00B52EE0">
      <w:pPr>
        <w:pStyle w:val="ConsPlusNormal"/>
        <w:ind w:firstLine="540"/>
        <w:jc w:val="both"/>
      </w:pPr>
      <w:r>
        <w:t xml:space="preserve">- гаражей и </w:t>
      </w:r>
      <w:proofErr w:type="spellStart"/>
      <w:r>
        <w:t>машино</w:t>
      </w:r>
      <w:proofErr w:type="spellEnd"/>
      <w:r>
        <w:t>-мест;</w:t>
      </w:r>
    </w:p>
    <w:p w:rsidR="00B52EE0" w:rsidRDefault="00B52EE0">
      <w:pPr>
        <w:pStyle w:val="ConsPlusNormal"/>
        <w:ind w:firstLine="540"/>
        <w:jc w:val="both"/>
      </w:pPr>
      <w:r>
        <w:t>- хозяйственных строений или сооружений,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B52EE0" w:rsidRDefault="00B52EE0">
      <w:pPr>
        <w:pStyle w:val="ConsPlusNormal"/>
        <w:ind w:firstLine="540"/>
        <w:jc w:val="both"/>
      </w:pPr>
      <w:r>
        <w:t xml:space="preserve">2) 2 процента в отношении объектов налогообложения, включенных в перечень, определяемый в соответствии с </w:t>
      </w:r>
      <w:hyperlink r:id="rId13" w:history="1">
        <w:r>
          <w:rPr>
            <w:color w:val="0000FF"/>
          </w:rPr>
          <w:t>пунктом 7 статьи 378.2</w:t>
        </w:r>
      </w:hyperlink>
      <w:r>
        <w:t xml:space="preserve"> Налогового кодекса Российской Федерации, в отношении объектов налогообложения, предусмотренных </w:t>
      </w:r>
      <w:hyperlink r:id="rId14" w:history="1">
        <w:r>
          <w:rPr>
            <w:color w:val="0000FF"/>
          </w:rPr>
          <w:t>абзацем вторым пункта 10 статьи 378.2</w:t>
        </w:r>
      </w:hyperlink>
      <w:r>
        <w:t xml:space="preserve"> Налогового кодекса Российской Федерации, а также в отношении объектов налогообложения, кадастровая стоимость каждого из которых превышает 300 миллионов рублей;</w:t>
      </w:r>
    </w:p>
    <w:p w:rsidR="00B52EE0" w:rsidRDefault="00B52EE0">
      <w:pPr>
        <w:pStyle w:val="ConsPlusNormal"/>
        <w:ind w:firstLine="540"/>
        <w:jc w:val="both"/>
      </w:pPr>
      <w:r>
        <w:t>3) 0,5 процента в отношении прочих объектов налогообложения.</w:t>
      </w:r>
    </w:p>
    <w:p w:rsidR="00B52EE0" w:rsidRDefault="00B52EE0">
      <w:pPr>
        <w:pStyle w:val="ConsPlusNormal"/>
        <w:ind w:firstLine="540"/>
        <w:jc w:val="both"/>
      </w:pPr>
      <w:r>
        <w:t xml:space="preserve">5. Установить, что от уплаты налога на имущество физических лиц, являющегося жилым помещением, расположенным на территории муниципального образования рабочий поселок Атиг, и объектом налогообложения, освобождаются налогоплательщики - совместно проживающие и имеющие регистрацию по месту жительства в указанном в настоящем пункте жилом помещении родители и дети многодетных семей, признанных таковыми согласно действующему законодательству, за исключением детей, находящихся на полном государственном обеспечении. Порядок предоставления льготы производится в соответствии со </w:t>
      </w:r>
      <w:hyperlink r:id="rId15" w:history="1">
        <w:r>
          <w:rPr>
            <w:color w:val="0000FF"/>
          </w:rPr>
          <w:t>статьей 407</w:t>
        </w:r>
      </w:hyperlink>
      <w:r>
        <w:t xml:space="preserve"> Налогового кодекса Российской Федерации.</w:t>
      </w:r>
    </w:p>
    <w:p w:rsidR="00B52EE0" w:rsidRDefault="00B52EE0">
      <w:pPr>
        <w:pStyle w:val="ConsPlusNormal"/>
        <w:ind w:firstLine="540"/>
        <w:jc w:val="both"/>
      </w:pPr>
      <w:r>
        <w:t xml:space="preserve">6. Признать </w:t>
      </w:r>
      <w:hyperlink r:id="rId16" w:history="1">
        <w:r>
          <w:rPr>
            <w:color w:val="0000FF"/>
          </w:rPr>
          <w:t>Решение</w:t>
        </w:r>
      </w:hyperlink>
      <w:r>
        <w:t xml:space="preserve"> Думы муниципального образования рабочий поселок Атиг от 19.11.2008 N 148 "Об установлении налога на имущество физических лиц на территории муниципального образования рабочий поселок Атиг" (в ред. Решений Думы МО Атиг от 10.06.2010 </w:t>
      </w:r>
      <w:hyperlink r:id="rId17" w:history="1">
        <w:r>
          <w:rPr>
            <w:color w:val="0000FF"/>
          </w:rPr>
          <w:t>N 71/2</w:t>
        </w:r>
      </w:hyperlink>
      <w:r>
        <w:t xml:space="preserve">, от 28.10.2010 </w:t>
      </w:r>
      <w:hyperlink r:id="rId18" w:history="1">
        <w:r>
          <w:rPr>
            <w:color w:val="0000FF"/>
          </w:rPr>
          <w:t>N 94/2</w:t>
        </w:r>
      </w:hyperlink>
      <w:r>
        <w:t xml:space="preserve">, от 30.01.2014 </w:t>
      </w:r>
      <w:hyperlink r:id="rId19" w:history="1">
        <w:r>
          <w:rPr>
            <w:color w:val="0000FF"/>
          </w:rPr>
          <w:t>N 32/3</w:t>
        </w:r>
      </w:hyperlink>
      <w:r>
        <w:t>) утратившим силу с 1 января 2015 года.</w:t>
      </w:r>
    </w:p>
    <w:p w:rsidR="00B52EE0" w:rsidRDefault="00B52EE0">
      <w:pPr>
        <w:pStyle w:val="ConsPlusNormal"/>
        <w:pBdr>
          <w:top w:val="single" w:sz="6" w:space="0" w:color="auto"/>
        </w:pBdr>
        <w:spacing w:before="100" w:after="100"/>
        <w:jc w:val="both"/>
        <w:rPr>
          <w:sz w:val="2"/>
          <w:szCs w:val="2"/>
        </w:rPr>
      </w:pPr>
    </w:p>
    <w:p w:rsidR="00B52EE0" w:rsidRDefault="00B52EE0">
      <w:pPr>
        <w:pStyle w:val="ConsPlusNormal"/>
        <w:ind w:firstLine="540"/>
        <w:jc w:val="both"/>
      </w:pPr>
      <w:proofErr w:type="spellStart"/>
      <w:r>
        <w:rPr>
          <w:color w:val="0A2666"/>
        </w:rPr>
        <w:t>КонсультантПлюс</w:t>
      </w:r>
      <w:proofErr w:type="spellEnd"/>
      <w:r>
        <w:rPr>
          <w:color w:val="0A2666"/>
        </w:rPr>
        <w:t>: примечание.</w:t>
      </w:r>
    </w:p>
    <w:p w:rsidR="00B52EE0" w:rsidRDefault="00B52EE0">
      <w:pPr>
        <w:pStyle w:val="ConsPlusNormal"/>
        <w:ind w:firstLine="540"/>
        <w:jc w:val="both"/>
      </w:pPr>
      <w:r>
        <w:rPr>
          <w:color w:val="0A2666"/>
        </w:rPr>
        <w:t>Нумерация пунктов дана в соответствии с официальным текстом документа.</w:t>
      </w:r>
    </w:p>
    <w:p w:rsidR="00B52EE0" w:rsidRDefault="00B52EE0">
      <w:pPr>
        <w:pStyle w:val="ConsPlusNormal"/>
        <w:pBdr>
          <w:top w:val="single" w:sz="6" w:space="0" w:color="auto"/>
        </w:pBdr>
        <w:spacing w:before="100" w:after="100"/>
        <w:jc w:val="both"/>
        <w:rPr>
          <w:sz w:val="2"/>
          <w:szCs w:val="2"/>
        </w:rPr>
      </w:pPr>
    </w:p>
    <w:p w:rsidR="00B52EE0" w:rsidRDefault="00B52EE0">
      <w:pPr>
        <w:pStyle w:val="ConsPlusNormal"/>
        <w:ind w:firstLine="540"/>
        <w:jc w:val="both"/>
      </w:pPr>
      <w:r>
        <w:t>2. Настоящее Решение вступает в силу с 1 января 2015 года.</w:t>
      </w:r>
    </w:p>
    <w:p w:rsidR="00B52EE0" w:rsidRDefault="00B52EE0">
      <w:pPr>
        <w:pStyle w:val="ConsPlusNormal"/>
        <w:ind w:firstLine="540"/>
        <w:jc w:val="both"/>
      </w:pPr>
      <w:r>
        <w:t>3. Опубликовать настоящее Решение в официальном печатном издании "Информационный вестник муниципального образования рабочий поселок Атиг".</w:t>
      </w:r>
    </w:p>
    <w:p w:rsidR="00B52EE0" w:rsidRDefault="00B52EE0">
      <w:pPr>
        <w:pStyle w:val="ConsPlusNormal"/>
        <w:ind w:firstLine="540"/>
        <w:jc w:val="both"/>
      </w:pPr>
      <w:r>
        <w:t>4. Контроль над исполнением настоящего Решения возложить на постоянную комиссию по экономическому развитию, бюджету, финансам и налогам (О.М. Морозова).</w:t>
      </w:r>
    </w:p>
    <w:p w:rsidR="00B52EE0" w:rsidRDefault="00B52EE0">
      <w:pPr>
        <w:pStyle w:val="ConsPlusNormal"/>
        <w:jc w:val="both"/>
      </w:pPr>
    </w:p>
    <w:p w:rsidR="00B52EE0" w:rsidRDefault="00B52EE0">
      <w:pPr>
        <w:pStyle w:val="ConsPlusNonformat"/>
        <w:jc w:val="both"/>
      </w:pPr>
      <w:r>
        <w:t>Глава                                                     Председатель Думы</w:t>
      </w:r>
    </w:p>
    <w:p w:rsidR="00B52EE0" w:rsidRDefault="00B52EE0">
      <w:pPr>
        <w:pStyle w:val="ConsPlusNonformat"/>
        <w:jc w:val="both"/>
      </w:pPr>
      <w:r>
        <w:t>муниципального образования                       муниципального образования</w:t>
      </w:r>
    </w:p>
    <w:p w:rsidR="00B52EE0" w:rsidRDefault="00B52EE0">
      <w:pPr>
        <w:pStyle w:val="ConsPlusNonformat"/>
        <w:jc w:val="both"/>
      </w:pPr>
      <w:r>
        <w:t>рабочий поселок Атиг                                   рабочий поселок Атиг</w:t>
      </w:r>
    </w:p>
    <w:p w:rsidR="00B52EE0" w:rsidRDefault="00B52EE0">
      <w:pPr>
        <w:pStyle w:val="ConsPlusNonformat"/>
        <w:jc w:val="both"/>
      </w:pPr>
      <w:r>
        <w:t>В.С.МОРОЗОВ                                                     А.С.ШЕРШНЕВ</w:t>
      </w:r>
    </w:p>
    <w:p w:rsidR="00B52EE0" w:rsidRDefault="00B52EE0">
      <w:pPr>
        <w:pStyle w:val="ConsPlusNormal"/>
        <w:jc w:val="both"/>
      </w:pPr>
    </w:p>
    <w:p w:rsidR="00B52EE0" w:rsidRDefault="00B52EE0">
      <w:pPr>
        <w:pStyle w:val="ConsPlusNormal"/>
        <w:jc w:val="both"/>
      </w:pPr>
    </w:p>
    <w:p w:rsidR="00B52EE0" w:rsidRDefault="00B52EE0">
      <w:pPr>
        <w:pStyle w:val="ConsPlusNormal"/>
        <w:pBdr>
          <w:top w:val="single" w:sz="6" w:space="0" w:color="auto"/>
        </w:pBdr>
        <w:spacing w:before="100" w:after="100"/>
        <w:jc w:val="both"/>
        <w:rPr>
          <w:sz w:val="2"/>
          <w:szCs w:val="2"/>
        </w:rPr>
      </w:pPr>
    </w:p>
    <w:p w:rsidR="00D90AC6" w:rsidRDefault="00B52EE0"/>
    <w:sectPr w:rsidR="00D90AC6" w:rsidSect="00B52EE0">
      <w:pgSz w:w="11905" w:h="16838"/>
      <w:pgMar w:top="1134" w:right="850"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EE0"/>
    <w:rsid w:val="00247B2B"/>
    <w:rsid w:val="00B52EE0"/>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15A746-4F00-414F-BC5A-DE8B9ADC3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2EE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52E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52E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52EE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42D659FFD439CDAA4A3476E8CB8365A0D1E98736D85C1D722A4151F8BC4A75E7136DD2652D782AA153D7BE02gCE" TargetMode="External"/><Relationship Id="rId13" Type="http://schemas.openxmlformats.org/officeDocument/2006/relationships/hyperlink" Target="consultantplus://offline/ref=6542D659FFD439CDAA4A2A7BFEA7DD6FA0D3B68D3ED654492C7B4706A7EC4C20A7536B8F246807gCE" TargetMode="External"/><Relationship Id="rId18" Type="http://schemas.openxmlformats.org/officeDocument/2006/relationships/hyperlink" Target="consultantplus://offline/ref=6542D659FFD439CDAA4A3476E8CB8365A0D1E98730D95C1977241C5BF0E546770Eg0E"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6542D659FFD439CDAA4A2A7BFEA7DD6FA0D3B08C33D754492C7B4706A7EC4C20A7536B8302g5E" TargetMode="External"/><Relationship Id="rId12" Type="http://schemas.openxmlformats.org/officeDocument/2006/relationships/hyperlink" Target="consultantplus://offline/ref=6542D659FFD439CDAA4A2A7BFEA7DD6FA0D3B68D3ED654492C7B4706A7EC4C20A7536B87266A7102gBE" TargetMode="External"/><Relationship Id="rId17" Type="http://schemas.openxmlformats.org/officeDocument/2006/relationships/hyperlink" Target="consultantplus://offline/ref=6542D659FFD439CDAA4A3476E8CB8365A0D1E98730DE581B77241C5BF0E546770Eg0E" TargetMode="External"/><Relationship Id="rId2" Type="http://schemas.openxmlformats.org/officeDocument/2006/relationships/settings" Target="settings.xml"/><Relationship Id="rId16" Type="http://schemas.openxmlformats.org/officeDocument/2006/relationships/hyperlink" Target="consultantplus://offline/ref=6542D659FFD439CDAA4A3476E8CB8365A0D1E98736DB5C1D732C4151F8BC4A75E701g3E"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6542D659FFD439CDAA4A2A7BFEA7DD6FA0D3B68D3ED654492C7B4706A7EC4C20A7536B87266A7402g3E" TargetMode="External"/><Relationship Id="rId11" Type="http://schemas.openxmlformats.org/officeDocument/2006/relationships/hyperlink" Target="consultantplus://offline/ref=6542D659FFD439CDAA4A2A7BFEA7DD6FA0D3B08C33D754492C7B4706A7EC4C20A7536B872669752F0Ag0E" TargetMode="External"/><Relationship Id="rId5" Type="http://schemas.openxmlformats.org/officeDocument/2006/relationships/hyperlink" Target="consultantplus://offline/ref=6542D659FFD439CDAA4A2A7BFEA7DD6FA0D3BF8337D754492C7B4706A7EC4C20A7536B872669742A0Ag6E" TargetMode="External"/><Relationship Id="rId15" Type="http://schemas.openxmlformats.org/officeDocument/2006/relationships/hyperlink" Target="consultantplus://offline/ref=6542D659FFD439CDAA4A2A7BFEA7DD6FA0D3B68D3ED654492C7B4706A7EC4C20A7536B87266A7D02gEE" TargetMode="External"/><Relationship Id="rId10" Type="http://schemas.openxmlformats.org/officeDocument/2006/relationships/hyperlink" Target="consultantplus://offline/ref=6542D659FFD439CDAA4A2A7BFEA7DD6FA0D3B68D3ED654492C7B4706A7EC4C20A7536B87266A7602g2E" TargetMode="External"/><Relationship Id="rId19" Type="http://schemas.openxmlformats.org/officeDocument/2006/relationships/hyperlink" Target="consultantplus://offline/ref=6542D659FFD439CDAA4A3476E8CB8365A0D1E98736DC5C1F742C4151F8BC4A75E701g3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542D659FFD439CDAA4A2A7BFEA7DD6FA0D3B68D3ED654492C7B4706A7EC4C20A7536B87266A7402gCE" TargetMode="External"/><Relationship Id="rId14" Type="http://schemas.openxmlformats.org/officeDocument/2006/relationships/hyperlink" Target="consultantplus://offline/ref=6542D659FFD439CDAA4A2A7BFEA7DD6FA0D3B68D3ED654492C7B4706A7EC4C20A7536B8F246B07g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1105</Words>
  <Characters>6299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1</cp:revision>
  <dcterms:created xsi:type="dcterms:W3CDTF">2016-07-08T04:32:00Z</dcterms:created>
  <dcterms:modified xsi:type="dcterms:W3CDTF">2016-07-08T04:35:00Z</dcterms:modified>
</cp:coreProperties>
</file>